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报名截止时间：2024年3月3日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2024年2月28日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A0226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修正套件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体外冲击波疼痛治疗系统用耗材，生产厂家：Storz Medica AG瑞士 型号：MASTRPULS MP100。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A0226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雷火灸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颈肩疼痛，腰背疼痛，坐骨神经痛，膝关节疼痛等，因风寒所致身体各部位疼痛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一次性使用骨髓穿刺包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用于人体骨髓穿刺以抽取骨髓时一次性使用。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抗血栓梯度压力带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预防深静脉血栓；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/>
              <w:ind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2.静脉曲张术后辅助治疗。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G0226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外固定架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对骨骼的复杂性骨折，四肢开放性骨折，广泛组织损伤的闭合性骨折，感染性骨折起支撑和坚强固定作用。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M0226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一次性使用软性电子膀胱内窥镜导管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膀胱镜检查，活检，经尿道膀胱碎石取石术，经膀胱镜双J管置入和取出术等。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Z0226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冲吸式口护吸痰管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用于呼吸道取痰液，一次性使用。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Z0226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牙垫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用于临床固定气管插管，避免管体移位和插管脱出，保护气管插管及病人。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B0226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血细胞分析用染色液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在循环肿瘤细胞的检测过程中用于肿瘤细胞的染色鉴定。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血液病相关融合基因检测试剂盒BCR/ABL190/210/230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需包含BCR-ABL\AML1-ETO\PML-RARa的相关融合基因。适配设备：实时荧光定量PCR仪，生产厂家：ABI,型号：7500。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诺如病毒抗原检测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用于成人及儿童急性感染性腹泻的病原检测。检测方法为胶体金层析法，单人单卡，肉眼直接判读结果。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FZ0226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default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透析人工肾一次性使用血液回路导管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连续性血液净化设备专属耗材，生产厂家：重庆山外山血液净化技术有限公司，型号：SWS-5000专业版。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XW0226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内窥镜血管采集系统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用于心脏外科冠状动脉搭桥手术中经2-3cm切口进行微创采集大隐静脉和桡动脉桥血管。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Y0124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眼球突出度计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测量双眼眼球突出度、眶距、评估病变程度、进展及恢复情况。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软组织扩张器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用于假体不能即刻重建的患者，放置扩张器可以让患者进行放疗，进行胸部的扩张，减少胸腔皮肤的损伤，使假体重建手术更加完美。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具备U型防渗注射阀，有效防止针头刺穿及滑动；U型阀可自由注入或回抽。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反复耐穿次数至少可达500次。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</w:rPr>
              <w:t>直线形切割吻合器和钉仓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用于多发开放性或微创手术中组织的横断、切除和/或造吻口的吻合。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>适用于开放性手术中组织的离断、切除或肠管食管的吻合闭合；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lang w:eastAsia="zh-CN"/>
              </w:rPr>
              <w:t>多种吻合钉厚度以适用不同手术需求，吻合钉材料要求为钛合金；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适用于肠胃外科，普外科，胸外科等科室，一次性使用。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连发施夹器和钉夹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应用于要用金属夹结扎的血管或其他管状组织结构，结扎组织结构的尺寸应与结扎夹一致。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1、纯钛材质，不影响核磁及CT成像。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2、型号齐全，可以满足临床多种术式需求。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3、固定力强，施夹过程不易脱落，使手术更加安全。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人工乳房植入体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适用于隆乳和乳房再造。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1.提供乳房组织的体积填充。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2.修正先前乳房重建手术的效果。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3.增大乳房的大小、性状和感觉。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4.具有防渗漏层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5.多种型号供选择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  <w:r>
              <w:rPr>
                <w:rFonts w:hint="eastAsia" w:ascii="宋体" w:eastAsia="宋体"/>
                <w:sz w:val="20"/>
                <w:lang w:eastAsia="zh-CN"/>
              </w:rPr>
              <w:t>（准备样品或彩页，等通知交）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1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710A4"/>
    <w:multiLevelType w:val="singleLevel"/>
    <w:tmpl w:val="85D710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2523BA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74F2D26"/>
    <w:rsid w:val="17C7306C"/>
    <w:rsid w:val="17DC18A9"/>
    <w:rsid w:val="183B45D7"/>
    <w:rsid w:val="184F5194"/>
    <w:rsid w:val="1881312C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B8D0940"/>
    <w:rsid w:val="1C3F171A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B63EF5"/>
    <w:rsid w:val="2F016165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072095"/>
    <w:rsid w:val="38BA2E86"/>
    <w:rsid w:val="39292CF8"/>
    <w:rsid w:val="397F2B6A"/>
    <w:rsid w:val="398420CC"/>
    <w:rsid w:val="399B34CA"/>
    <w:rsid w:val="39BD1208"/>
    <w:rsid w:val="39D04655"/>
    <w:rsid w:val="39DA2245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7392418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FF15A3"/>
    <w:rsid w:val="5C3F5CCB"/>
    <w:rsid w:val="5C8136C1"/>
    <w:rsid w:val="5C8B413E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42BE"/>
    <w:rsid w:val="5F4B0103"/>
    <w:rsid w:val="5F852791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191E32"/>
    <w:rsid w:val="662817F5"/>
    <w:rsid w:val="663A7A43"/>
    <w:rsid w:val="66477914"/>
    <w:rsid w:val="664F3941"/>
    <w:rsid w:val="6670349F"/>
    <w:rsid w:val="66B75538"/>
    <w:rsid w:val="66D512E8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593CBE"/>
    <w:rsid w:val="6DA11374"/>
    <w:rsid w:val="6E41683C"/>
    <w:rsid w:val="6E9B3608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F237B"/>
    <w:rsid w:val="72026C75"/>
    <w:rsid w:val="72324A62"/>
    <w:rsid w:val="726A706D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C5109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328</TotalTime>
  <ScaleCrop>false</ScaleCrop>
  <LinksUpToDate>false</LinksUpToDate>
  <CharactersWithSpaces>1678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2024-02-26T07:44:00Z</cp:lastPrinted>
  <dcterms:modified xsi:type="dcterms:W3CDTF">2024-02-28T07:26:37Z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D7952CA9FC48456687C89DFBEDA40070</vt:lpwstr>
  </property>
</Properties>
</file>